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7BE" w:rsidRDefault="007A03A3">
      <w:pPr>
        <w:pStyle w:val="a6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 xml:space="preserve">1) Замоскворецкая межрайонная прокуратура г. Москвы разъясняет </w:t>
      </w: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в вступлении в силу изменений в Федеральном законе о порядке рассмотрения обращений граждан</w:t>
      </w:r>
    </w:p>
    <w:p w:rsidR="00B057BE" w:rsidRDefault="00B057BE">
      <w:pPr>
        <w:pStyle w:val="a6"/>
        <w:ind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</w:pP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EFFFF"/>
        </w:rPr>
        <w:tab/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Федеральным законом от 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28.12.2024 № 547-ФЗ внесены изменения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>в Федеральный закон от 02.05.2006 № 59-ФЗ «О порядке рассмотрения обращений граждан Российской Федерации».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В соответствии с данными изменениями под обращением понимаются направленные в государственный орган, орган мес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тного самоуправления или должностному лицу в письменной форме или в форме электронного документа с использованием федеральной государственной информационной системы «Единый портал государственных и муниципальных услуг (функций)»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>(далее - Единый портал), и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ной информационной системы государственного органа или органа местного самоуправления либо официального сайта государственного органа или органа местного самоуправления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>в информационно-телекоммуникационной сети «Интернет», обеспечивающих идентификацию и (</w:t>
      </w:r>
      <w:r>
        <w:rPr>
          <w:rFonts w:ascii="Times New Roman" w:hAnsi="Times New Roman"/>
          <w:sz w:val="28"/>
          <w:szCs w:val="28"/>
          <w:shd w:val="clear" w:color="auto" w:fill="FEFFFF"/>
        </w:rPr>
        <w:t>или) аутентификацию граждан (если иное не установлено настоящим Федеральным законом), предложение, заявление или жалоба, а также устное обращение гражданина в государственный орган, орган местного самоуправления (п. 1 ст. 4 ФЗ № 59).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Подача обращений гражд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ан в форме электронного документа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с использованием официального сайта в информационно-телекоммуникационной сети «Интернет» </w:t>
      </w:r>
      <w:r>
        <w:rPr>
          <w:rFonts w:ascii="Times New Roman" w:hAnsi="Times New Roman"/>
          <w:b/>
          <w:sz w:val="28"/>
          <w:szCs w:val="28"/>
          <w:shd w:val="clear" w:color="auto" w:fill="FEFFFF"/>
        </w:rPr>
        <w:t>будет осуществляться только после авторизации через Единую систему идентификации и аутентификации (ЕСИА).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Ответ на обращение направл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яется в форме электронного документа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по адресу электронной почты, указанному в обращении, поступившем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>в государственный орган в форме электронного документа или в иной информационной системе государственного органа обеспечивающей идентификацию и (или) ау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тентификацию гражданина, при использовании Единого портала и в письменной форме по почтовому адресу, указанному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в обращении, поступившем в государственный орган в письменной форме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>(ч. 4 ст. 10 ФЗ № 59).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Федеральный закон вступил в силу 30 марта 2025 года</w:t>
      </w:r>
      <w:r>
        <w:rPr>
          <w:rFonts w:ascii="Times New Roman" w:hAnsi="Times New Roman"/>
          <w:sz w:val="28"/>
          <w:szCs w:val="28"/>
          <w:shd w:val="clear" w:color="auto" w:fill="FEFFFF"/>
        </w:rPr>
        <w:t>.</w:t>
      </w:r>
    </w:p>
    <w:p w:rsidR="00B057BE" w:rsidRDefault="00B057BE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</w:p>
    <w:p w:rsidR="00B057BE" w:rsidRDefault="00B057BE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</w:p>
    <w:p w:rsidR="00B057BE" w:rsidRDefault="007A03A3">
      <w:pPr>
        <w:pStyle w:val="a6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2) Замоскворецкая межрайонная прокуратура г. Москвы разъясняет порядок внесудебного банкротства для участников СВО</w:t>
      </w:r>
    </w:p>
    <w:p w:rsidR="00B057BE" w:rsidRDefault="00B057BE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23 мая 2025 года вступил в силу закон о внесудебном банкротстве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>для участников СВО.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Федеральным законом от 23.05.2025 № 111-ФЗ «О внес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ении изменений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в статьи 213.25 и 223.2 Федерального закона "О несостоятельности (банкротстве)» установлено, что Участники СВО (как действующие, так и </w:t>
      </w:r>
      <w:r>
        <w:rPr>
          <w:rFonts w:ascii="Times New Roman" w:hAnsi="Times New Roman"/>
          <w:sz w:val="28"/>
          <w:szCs w:val="28"/>
          <w:shd w:val="clear" w:color="auto" w:fill="FEFFFF"/>
        </w:rPr>
        <w:lastRenderedPageBreak/>
        <w:t>бывшие) могут воспользоваться механизмом внесудебного банкротства при соблюдении таких условий: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- размер </w:t>
      </w:r>
      <w:r>
        <w:rPr>
          <w:rFonts w:ascii="Times New Roman" w:hAnsi="Times New Roman"/>
          <w:sz w:val="28"/>
          <w:szCs w:val="28"/>
          <w:shd w:val="clear" w:color="auto" w:fill="FEFFFF"/>
        </w:rPr>
        <w:t>долгов не менее 25 тыс. руб. и не больше 1 млн рублей;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- нет имущества, на которое можно обратить взыскание;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- есть исполнительный документ, который выдан не позднее чем за 1 год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до заявления о внесудебном банкротстве, этот документ предъявлялся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к исполн</w:t>
      </w:r>
      <w:r>
        <w:rPr>
          <w:rFonts w:ascii="Times New Roman" w:hAnsi="Times New Roman"/>
          <w:sz w:val="28"/>
          <w:szCs w:val="28"/>
          <w:shd w:val="clear" w:color="auto" w:fill="FEFFFF"/>
        </w:rPr>
        <w:t>ению, но не был полностью или частично исполнен.</w:t>
      </w:r>
    </w:p>
    <w:p w:rsidR="00B057BE" w:rsidRDefault="00B057BE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</w:p>
    <w:p w:rsidR="00B057BE" w:rsidRDefault="00B057BE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</w:p>
    <w:p w:rsidR="00B057BE" w:rsidRDefault="007A03A3">
      <w:pPr>
        <w:pStyle w:val="a6"/>
        <w:ind w:firstLine="567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3) Замоскворецкая межрайонная прокуратура г. Москвы разъясняет особенности банкротства страховой организации, управляющей паевыми инвестиционными фондами</w:t>
      </w:r>
    </w:p>
    <w:p w:rsidR="00B057BE" w:rsidRDefault="00B057BE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1 января 2025 года установлены особенности </w:t>
      </w:r>
      <w:r>
        <w:rPr>
          <w:rFonts w:ascii="Times New Roman" w:hAnsi="Times New Roman"/>
          <w:sz w:val="28"/>
          <w:szCs w:val="28"/>
          <w:shd w:val="clear" w:color="auto" w:fill="FEFFFF"/>
        </w:rPr>
        <w:t>банкротства страховой организации, управляющей паевыми инвестиционными фондами.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Предусмотрено, что в конкурсную массу должника не включается имущество клиентов, которое находится у должника в доверительном управлении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или передано в оплату инвестиционных </w:t>
      </w:r>
      <w:r>
        <w:rPr>
          <w:rFonts w:ascii="Times New Roman" w:hAnsi="Times New Roman"/>
          <w:sz w:val="28"/>
          <w:szCs w:val="28"/>
          <w:shd w:val="clear" w:color="auto" w:fill="FEFFFF"/>
        </w:rPr>
        <w:t>паев.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Конкурсный управляющий прекращает паевые инвестиционные фонды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>при одновременном соблюдении таких условий: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- у организации отозвали лицензию и она признана банкротом;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- нет действующего договора со специализированным депозитарием либо аннулирована ли</w:t>
      </w:r>
      <w:r>
        <w:rPr>
          <w:rFonts w:ascii="Times New Roman" w:hAnsi="Times New Roman"/>
          <w:sz w:val="28"/>
          <w:szCs w:val="28"/>
          <w:shd w:val="clear" w:color="auto" w:fill="FEFFFF"/>
        </w:rPr>
        <w:t>цензия такого депозитария.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Если в такой ситуации у организации нет признаков банкротства,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>то прекращает паевые инвестиционные фонды временная администрация.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Она действует до завершения всех процедур, связанных с прекращением фондов.</w:t>
      </w:r>
    </w:p>
    <w:p w:rsidR="00B057BE" w:rsidRDefault="00B057BE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</w:p>
    <w:p w:rsidR="00B057BE" w:rsidRDefault="00B057BE">
      <w:pPr>
        <w:pStyle w:val="a6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</w:p>
    <w:p w:rsidR="00B057BE" w:rsidRDefault="007A03A3">
      <w:pPr>
        <w:pStyle w:val="a6"/>
        <w:ind w:firstLine="567"/>
        <w:jc w:val="center"/>
        <w:rPr>
          <w:rFonts w:hint="eastAsia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4) Замоскворецкая м</w:t>
      </w:r>
      <w:r>
        <w:rPr>
          <w:rFonts w:ascii="Times New Roman" w:hAnsi="Times New Roman"/>
          <w:b/>
          <w:bCs/>
          <w:sz w:val="28"/>
          <w:szCs w:val="28"/>
          <w:shd w:val="clear" w:color="auto" w:fill="FEFFFF"/>
        </w:rPr>
        <w:t>ежрайонная прокуратура г. Москвы разъясняет правила проведения общего собрания акционеров</w:t>
      </w:r>
    </w:p>
    <w:p w:rsidR="00B057BE" w:rsidRDefault="00B057BE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1 марта 2025 года скорректированы и дополнены правила проведения общего собрания акционеров.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Внесены терминологические уточнения по тексту закона: словосочетание «об</w:t>
      </w:r>
      <w:r>
        <w:rPr>
          <w:rFonts w:ascii="Times New Roman" w:hAnsi="Times New Roman"/>
          <w:sz w:val="28"/>
          <w:szCs w:val="28"/>
          <w:shd w:val="clear" w:color="auto" w:fill="FEFFFF"/>
        </w:rPr>
        <w:t>щее собрание» в контексте заседания этого органа заменено на «принятие решения общим собранием», «заседание или заочное голосование для принятия решения общим собранием», «заседание общего собрания».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Установили нижнюю границу периода предоставления предлож</w:t>
      </w:r>
      <w:r>
        <w:rPr>
          <w:rFonts w:ascii="Times New Roman" w:hAnsi="Times New Roman"/>
          <w:sz w:val="28"/>
          <w:szCs w:val="28"/>
          <w:shd w:val="clear" w:color="auto" w:fill="FEFFFF"/>
        </w:rPr>
        <w:t>ений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в повестку годового собрания - 1 июля отчетного года. Скорректировали верхнюю границу - по умолчанию не позднее 31 января года, следующего </w:t>
      </w:r>
      <w:r>
        <w:rPr>
          <w:rFonts w:ascii="Times New Roman" w:hAnsi="Times New Roman"/>
          <w:sz w:val="28"/>
          <w:szCs w:val="28"/>
          <w:shd w:val="clear" w:color="auto" w:fill="FEFFFF"/>
        </w:rPr>
        <w:br/>
      </w:r>
      <w:r>
        <w:rPr>
          <w:rFonts w:ascii="Times New Roman" w:hAnsi="Times New Roman"/>
          <w:sz w:val="28"/>
          <w:szCs w:val="28"/>
          <w:shd w:val="clear" w:color="auto" w:fill="FEFFFF"/>
        </w:rPr>
        <w:t>за отчетным.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Закрепили правила проведения общих собраний с дистанционным участием. Запись трансляции заседания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 включили в перечень информации, к </w:t>
      </w:r>
      <w:r>
        <w:rPr>
          <w:rFonts w:ascii="Times New Roman" w:hAnsi="Times New Roman"/>
          <w:sz w:val="28"/>
          <w:szCs w:val="28"/>
          <w:shd w:val="clear" w:color="auto" w:fill="FEFFFF"/>
        </w:rPr>
        <w:lastRenderedPageBreak/>
        <w:t>которой общество обязано предоставить доступ акционерам с не менее чем 1% голосующих акций.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Установили правила проведения общего собрания, голосование на котором совмещается с заочным голосованием. На таком собрании можно</w:t>
      </w: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 принимать решения, которые запрещены, если проводится только заочное голосование (например, об избрании совета директоров).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В ряде случаев совмещение голосования на общем собрании с заочным голосованием обязательно: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- когда проводится общее собрание в пуб</w:t>
      </w:r>
      <w:r>
        <w:rPr>
          <w:rFonts w:ascii="Times New Roman" w:hAnsi="Times New Roman"/>
          <w:sz w:val="28"/>
          <w:szCs w:val="28"/>
          <w:shd w:val="clear" w:color="auto" w:fill="FEFFFF"/>
        </w:rPr>
        <w:t>личном обществе;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- число владельцев голосующих акций в непубличном обществе 50 и более;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- такой способ голосования закреплен в уставе непубличного общества.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Внесены изменения в нормы об информировании акционеров о заседании, подготовке к его проведению, кв</w:t>
      </w:r>
      <w:r>
        <w:rPr>
          <w:rFonts w:ascii="Times New Roman" w:hAnsi="Times New Roman"/>
          <w:sz w:val="28"/>
          <w:szCs w:val="28"/>
          <w:shd w:val="clear" w:color="auto" w:fill="FEFFFF"/>
        </w:rPr>
        <w:t>оруме, бюллетенях, протоколе собрания.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Так, в протоколе собрания должны быть указаны причины, по которым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оно не состоялось (основания, по которым признано несостоявшимся).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>Устав непубличного общества может содержать отличные от Закона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об АО и актов ЦБ </w:t>
      </w:r>
      <w:r>
        <w:rPr>
          <w:rFonts w:ascii="Times New Roman" w:hAnsi="Times New Roman"/>
          <w:sz w:val="28"/>
          <w:szCs w:val="28"/>
          <w:shd w:val="clear" w:color="auto" w:fill="FEFFFF"/>
        </w:rPr>
        <w:t>РФ положения о подготовке к заседанию или заочному голосованию, их проведению, принятию решения собранием. Эти правила</w:t>
      </w:r>
    </w:p>
    <w:p w:rsidR="00B057BE" w:rsidRDefault="007A03A3">
      <w:pPr>
        <w:pStyle w:val="a6"/>
        <w:ind w:firstLine="567"/>
        <w:jc w:val="both"/>
        <w:rPr>
          <w:rFonts w:hint="eastAsia"/>
        </w:rPr>
      </w:pPr>
      <w:r>
        <w:rPr>
          <w:rFonts w:ascii="Times New Roman" w:hAnsi="Times New Roman"/>
          <w:sz w:val="28"/>
          <w:szCs w:val="28"/>
          <w:shd w:val="clear" w:color="auto" w:fill="FEFFFF"/>
        </w:rPr>
        <w:t xml:space="preserve">не должны препятствовать акционерам участвовать в собрании и получать информацию о заседании (голосовании). Кроме того, нельзя изменить </w:t>
      </w:r>
      <w:r>
        <w:rPr>
          <w:rFonts w:ascii="Times New Roman" w:hAnsi="Times New Roman"/>
          <w:sz w:val="28"/>
          <w:szCs w:val="28"/>
          <w:shd w:val="clear" w:color="auto" w:fill="FEFFFF"/>
        </w:rPr>
        <w:t>границы срока проведения годового заседания.</w:t>
      </w:r>
    </w:p>
    <w:p w:rsidR="00B057BE" w:rsidRDefault="00B057BE">
      <w:pPr>
        <w:pStyle w:val="a6"/>
        <w:ind w:firstLine="567"/>
        <w:jc w:val="both"/>
        <w:rPr>
          <w:rFonts w:ascii="Times New Roman" w:hAnsi="Times New Roman"/>
          <w:sz w:val="28"/>
          <w:szCs w:val="28"/>
          <w:shd w:val="clear" w:color="auto" w:fill="FEFFFF"/>
        </w:rPr>
      </w:pPr>
    </w:p>
    <w:p w:rsidR="00B057BE" w:rsidRDefault="00B057BE">
      <w:pPr>
        <w:pStyle w:val="Standard"/>
        <w:tabs>
          <w:tab w:val="left" w:pos="2268"/>
          <w:tab w:val="left" w:pos="6804"/>
        </w:tabs>
        <w:rPr>
          <w:rFonts w:ascii="Times New Roman" w:hAnsi="Times New Roman" w:cs="Times New Roman"/>
          <w:color w:val="000000"/>
          <w:sz w:val="20"/>
          <w:szCs w:val="20"/>
        </w:rPr>
      </w:pPr>
    </w:p>
    <w:p w:rsidR="00B057BE" w:rsidRDefault="007A03A3">
      <w:pPr>
        <w:pStyle w:val="Standard"/>
        <w:spacing w:line="256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5) Замоскворецкая межрайонная прокуратура г. Москвы разъясняет: упрощен порядок выдачи удостоверения ветерана боевых действий гражданам добровольческих формирований, содействующим выполнению задач в ходе СВО</w:t>
      </w:r>
    </w:p>
    <w:p w:rsidR="00B057BE" w:rsidRDefault="007A03A3">
      <w:pPr>
        <w:pStyle w:val="a5"/>
        <w:spacing w:before="0" w:after="0" w:line="240" w:lineRule="auto"/>
        <w:ind w:firstLine="708"/>
        <w:jc w:val="both"/>
      </w:pPr>
      <w:r>
        <w:rPr>
          <w:sz w:val="28"/>
          <w:shd w:val="clear" w:color="auto" w:fill="FFFFFF"/>
        </w:rPr>
        <w:t>В</w:t>
      </w:r>
      <w:r>
        <w:rPr>
          <w:sz w:val="28"/>
          <w:shd w:val="clear" w:color="auto" w:fill="FFFFFF"/>
        </w:rPr>
        <w:t xml:space="preserve"> соответствии с По</w:t>
      </w:r>
      <w:r>
        <w:rPr>
          <w:sz w:val="28"/>
        </w:rPr>
        <w:t xml:space="preserve">становлением Правительства РФ от 24.01.2025 </w:t>
      </w:r>
      <w:r>
        <w:br/>
      </w:r>
      <w:r>
        <w:rPr>
          <w:sz w:val="28"/>
        </w:rPr>
        <w:t>№ 39 «О внесении изменений в постановление Правительства Российской Федерации от 04 марта 2023 г. № 342» выдача удостоверений добровольцам может осуществляться в беззаявительном порядке.</w:t>
      </w:r>
    </w:p>
    <w:p w:rsidR="00B057BE" w:rsidRDefault="007A03A3">
      <w:pPr>
        <w:pStyle w:val="a5"/>
        <w:spacing w:before="0" w:after="0" w:line="240" w:lineRule="auto"/>
        <w:ind w:firstLine="708"/>
        <w:jc w:val="both"/>
      </w:pPr>
      <w:r>
        <w:rPr>
          <w:sz w:val="28"/>
        </w:rPr>
        <w:t xml:space="preserve">Решение о выдаче удостоверения добровольцу принимается комиссией </w:t>
      </w:r>
      <w:r>
        <w:rPr>
          <w:sz w:val="28"/>
        </w:rPr>
        <w:br/>
      </w:r>
      <w:r>
        <w:rPr>
          <w:sz w:val="28"/>
        </w:rPr>
        <w:t>в течение 30 дней со дня поступления из воинской части в военный комиссариат субъекта РФ, в составе которого она создана, сведений и документов, соответствующих установленным требованиям.</w:t>
      </w:r>
    </w:p>
    <w:p w:rsidR="00B057BE" w:rsidRDefault="007A03A3">
      <w:pPr>
        <w:pStyle w:val="a5"/>
        <w:spacing w:before="0" w:after="0" w:line="240" w:lineRule="auto"/>
        <w:ind w:firstLine="708"/>
        <w:jc w:val="both"/>
      </w:pPr>
      <w:r>
        <w:rPr>
          <w:sz w:val="28"/>
        </w:rPr>
        <w:t>Оф</w:t>
      </w:r>
      <w:r>
        <w:rPr>
          <w:sz w:val="28"/>
        </w:rPr>
        <w:t>ормленное удостоверение направляется в военный комиссариат муниципального образования (муниципальных образований) по месту постановки на воинский учет (по месту жительства) добровольца.</w:t>
      </w:r>
    </w:p>
    <w:p w:rsidR="00B057BE" w:rsidRDefault="00B057BE">
      <w:pPr>
        <w:pStyle w:val="a5"/>
        <w:spacing w:before="0" w:after="0" w:line="240" w:lineRule="auto"/>
        <w:rPr>
          <w:b/>
          <w:sz w:val="28"/>
        </w:rPr>
      </w:pPr>
    </w:p>
    <w:p w:rsidR="00B057BE" w:rsidRDefault="00B057BE">
      <w:pPr>
        <w:pStyle w:val="Standard"/>
        <w:spacing w:line="256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057BE" w:rsidRDefault="00B057BE">
      <w:pPr>
        <w:pStyle w:val="Standard"/>
        <w:spacing w:line="256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057BE" w:rsidRDefault="00B057BE">
      <w:pPr>
        <w:pStyle w:val="Standard"/>
        <w:spacing w:line="256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057BE" w:rsidRDefault="00B057BE">
      <w:pPr>
        <w:pStyle w:val="Standard"/>
        <w:spacing w:line="256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057BE" w:rsidRDefault="00B057BE">
      <w:pPr>
        <w:pStyle w:val="Standard"/>
        <w:spacing w:line="256" w:lineRule="auto"/>
        <w:jc w:val="center"/>
        <w:rPr>
          <w:rFonts w:ascii="Times New Roman" w:hAnsi="Times New Roman"/>
          <w:b/>
          <w:color w:val="000000"/>
          <w:sz w:val="28"/>
          <w:shd w:val="clear" w:color="auto" w:fill="FFFFFF"/>
        </w:rPr>
      </w:pPr>
    </w:p>
    <w:p w:rsidR="00B057BE" w:rsidRDefault="007A03A3">
      <w:pPr>
        <w:pStyle w:val="Standard"/>
        <w:spacing w:line="256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lastRenderedPageBreak/>
        <w:t>6) Замоскворецкая межрайонная прокуратура г. Москвы разъясняет:</w:t>
      </w:r>
    </w:p>
    <w:p w:rsidR="00B057BE" w:rsidRDefault="007A03A3">
      <w:pPr>
        <w:pStyle w:val="Standard"/>
        <w:spacing w:line="256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</w:rPr>
        <w:t>федеральный закон, регулирующий порядок осуществления частной охранной деятельности</w:t>
      </w:r>
    </w:p>
    <w:p w:rsidR="00B057BE" w:rsidRDefault="00B057BE">
      <w:pPr>
        <w:pStyle w:val="Standard"/>
        <w:spacing w:line="256" w:lineRule="auto"/>
        <w:jc w:val="both"/>
        <w:rPr>
          <w:rFonts w:ascii="Times New Roman" w:hAnsi="Times New Roman"/>
          <w:color w:val="000000"/>
          <w:sz w:val="28"/>
        </w:rPr>
      </w:pPr>
    </w:p>
    <w:p w:rsidR="00B057BE" w:rsidRDefault="007A03A3">
      <w:pPr>
        <w:pStyle w:val="Standard"/>
        <w:spacing w:line="256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В целях совершенствования нормативно-правового регулирования негосударственной (частной) охранной деятельности в Российской Федерации, усиления контроля за оборотом оружи</w:t>
      </w:r>
      <w:r>
        <w:rPr>
          <w:rFonts w:ascii="Times New Roman" w:hAnsi="Times New Roman"/>
          <w:color w:val="000000"/>
          <w:sz w:val="28"/>
        </w:rPr>
        <w:t xml:space="preserve">я и специальных средств, а также дальнейшего развития механизмов государственно-частного партнерства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в обеспечении общественной безопасности, в том числе постоянного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эффективного взаимодействия частных охранных организаций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с правоохранительными органа</w:t>
      </w:r>
      <w:r>
        <w:rPr>
          <w:rFonts w:ascii="Times New Roman" w:hAnsi="Times New Roman"/>
          <w:color w:val="000000"/>
          <w:sz w:val="28"/>
        </w:rPr>
        <w:t xml:space="preserve">ми, 30.11.2024 принят Федеральный закон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№ 427- ФЗ «О частной охранной деятельности».</w:t>
      </w:r>
    </w:p>
    <w:p w:rsidR="00B057BE" w:rsidRDefault="007A03A3">
      <w:pPr>
        <w:pStyle w:val="Standard"/>
        <w:spacing w:line="256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Законом разграничены два самостоятельных, различных по своему содержанию вида деятельности (частная детективная и охранная); ужесточены требования к учредителям (участник</w:t>
      </w:r>
      <w:r>
        <w:rPr>
          <w:rFonts w:ascii="Times New Roman" w:hAnsi="Times New Roman"/>
          <w:color w:val="000000"/>
          <w:sz w:val="28"/>
        </w:rPr>
        <w:t xml:space="preserve">ам) частных охранных организаций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к частным охранникам, а также к обороту оружия и специальных средств; конкретизированы охранные услуги, к которым отнесены: защита жизни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здоровья физических лиц; охрана объектов и имущества; обеспечение порядка в мест</w:t>
      </w:r>
      <w:r>
        <w:rPr>
          <w:rFonts w:ascii="Times New Roman" w:hAnsi="Times New Roman"/>
          <w:color w:val="000000"/>
          <w:sz w:val="28"/>
        </w:rPr>
        <w:t xml:space="preserve">ах проведения массовых мероприятий; проектирование, монтаж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и эксплуатационное обслуживание технических средств охраны, охранной сигнализации, контроля доступа и видеонаблюдения; обеспечение пропускного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и внутриобъектового режимов на охраняемых объектах.</w:t>
      </w:r>
    </w:p>
    <w:p w:rsidR="00B057BE" w:rsidRDefault="007A03A3">
      <w:pPr>
        <w:pStyle w:val="Standard"/>
        <w:spacing w:line="256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 xml:space="preserve">В то же время охранным организациям разрешено осуществлять определенный перечень других дополнительных видов деятельности 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color w:val="000000"/>
          <w:sz w:val="28"/>
        </w:rPr>
        <w:t>при наличии соответствующих лицензий.</w:t>
      </w:r>
    </w:p>
    <w:p w:rsidR="00B057BE" w:rsidRDefault="007A03A3">
      <w:pPr>
        <w:pStyle w:val="Standard"/>
        <w:spacing w:line="256" w:lineRule="auto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 xml:space="preserve">Законом введена новая категория частных охранников - телохранитель, оказывающих услуги по </w:t>
      </w:r>
      <w:r>
        <w:rPr>
          <w:rFonts w:ascii="Times New Roman" w:hAnsi="Times New Roman"/>
          <w:color w:val="000000"/>
          <w:sz w:val="28"/>
        </w:rPr>
        <w:t>защите жизни и здоровья физических лиц.</w:t>
      </w:r>
    </w:p>
    <w:p w:rsidR="00B057BE" w:rsidRDefault="007A03A3">
      <w:pPr>
        <w:pStyle w:val="Standard"/>
        <w:spacing w:line="256" w:lineRule="auto"/>
        <w:ind w:firstLine="708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Отдельный раздел посвящен вопросам взаимодействия частных охранных структур и органов правопорядка в сфере охраны общественного порядка.</w:t>
      </w:r>
    </w:p>
    <w:p w:rsidR="00B057BE" w:rsidRDefault="00B057BE">
      <w:pPr>
        <w:pStyle w:val="Standard"/>
        <w:spacing w:line="256" w:lineRule="auto"/>
        <w:rPr>
          <w:rFonts w:hint="eastAsia"/>
          <w:b/>
          <w:color w:val="000000"/>
        </w:rPr>
      </w:pPr>
    </w:p>
    <w:p w:rsidR="00B057BE" w:rsidRDefault="00B057BE">
      <w:pPr>
        <w:pStyle w:val="Standard"/>
        <w:spacing w:line="256" w:lineRule="auto"/>
        <w:rPr>
          <w:rFonts w:hint="eastAsia"/>
          <w:b/>
          <w:color w:val="000000"/>
        </w:rPr>
      </w:pPr>
    </w:p>
    <w:p w:rsidR="00B057BE" w:rsidRDefault="00B057BE">
      <w:pPr>
        <w:pStyle w:val="Standard"/>
        <w:spacing w:line="256" w:lineRule="auto"/>
        <w:rPr>
          <w:rFonts w:hint="eastAsia"/>
          <w:b/>
          <w:color w:val="000000"/>
        </w:rPr>
      </w:pPr>
    </w:p>
    <w:p w:rsidR="00B057BE" w:rsidRDefault="007A03A3">
      <w:pPr>
        <w:pStyle w:val="Standard"/>
        <w:spacing w:line="256" w:lineRule="auto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shd w:val="clear" w:color="auto" w:fill="FFFFFF"/>
        </w:rPr>
        <w:t>7) Замоскворецкая межрайонная прокуратура г. Москвы разъясняет</w:t>
      </w:r>
      <w:r>
        <w:rPr>
          <w:rFonts w:ascii="Times New Roman" w:hAnsi="Times New Roman"/>
          <w:b/>
          <w:color w:val="000000"/>
          <w:sz w:val="28"/>
        </w:rPr>
        <w:t xml:space="preserve"> порядок приме</w:t>
      </w:r>
      <w:r>
        <w:rPr>
          <w:rFonts w:ascii="Times New Roman" w:hAnsi="Times New Roman"/>
          <w:b/>
          <w:color w:val="000000"/>
          <w:sz w:val="28"/>
        </w:rPr>
        <w:t>нения запрета продажи отдельных лекарственных препаратов</w:t>
      </w:r>
    </w:p>
    <w:p w:rsidR="00B057BE" w:rsidRDefault="00B057BE">
      <w:pPr>
        <w:pStyle w:val="Standard"/>
        <w:spacing w:line="256" w:lineRule="auto"/>
        <w:ind w:firstLine="709"/>
        <w:jc w:val="both"/>
        <w:rPr>
          <w:rFonts w:ascii="Times New Roman" w:hAnsi="Times New Roman"/>
          <w:color w:val="000000"/>
          <w:sz w:val="28"/>
        </w:rPr>
      </w:pPr>
    </w:p>
    <w:p w:rsidR="00B057BE" w:rsidRDefault="007A03A3">
      <w:pPr>
        <w:pStyle w:val="Standard"/>
        <w:spacing w:line="256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 xml:space="preserve">Постановление Правительства РФ от 03.03.2025 № 257 </w:t>
      </w:r>
      <w:r>
        <w:rPr>
          <w:color w:val="000000"/>
        </w:rPr>
        <w:br/>
      </w:r>
      <w:r>
        <w:rPr>
          <w:rFonts w:ascii="Times New Roman" w:hAnsi="Times New Roman"/>
          <w:color w:val="000000"/>
          <w:sz w:val="28"/>
        </w:rPr>
        <w:t>«Об утверждении Правил применения положений части 2 статьи 57 Федерального закона «Об обращении лекарственных препаратов». Документ определяет пор</w:t>
      </w:r>
      <w:r>
        <w:rPr>
          <w:rFonts w:ascii="Times New Roman" w:hAnsi="Times New Roman"/>
          <w:color w:val="000000"/>
          <w:sz w:val="28"/>
        </w:rPr>
        <w:t xml:space="preserve">ядок применения положений части 2 статьи 57 Федерального закона «Об обращении лекарственных средств», устанавливающих запрет продажи фармацевтическими организациями лекарственных препаратов: в </w:t>
      </w:r>
      <w:r>
        <w:rPr>
          <w:rFonts w:ascii="Times New Roman" w:hAnsi="Times New Roman"/>
          <w:color w:val="000000"/>
          <w:sz w:val="28"/>
        </w:rPr>
        <w:lastRenderedPageBreak/>
        <w:t xml:space="preserve">отношении которых в системе мониторинга отсутствуют сведения о </w:t>
      </w:r>
      <w:r>
        <w:rPr>
          <w:rFonts w:ascii="Times New Roman" w:hAnsi="Times New Roman"/>
          <w:color w:val="000000"/>
          <w:sz w:val="28"/>
        </w:rPr>
        <w:t>нанесении средств идентификации и (или) сведения о вводе в гражданский оборот; в отношении которых осуществлена блокировка внесения в систему мониторинга сведений о вводе в гражданский оборот, об обороте или о прекращении оборота; применение которых приост</w:t>
      </w:r>
      <w:r>
        <w:rPr>
          <w:rFonts w:ascii="Times New Roman" w:hAnsi="Times New Roman"/>
          <w:color w:val="000000"/>
          <w:sz w:val="28"/>
        </w:rPr>
        <w:t>ановлено по решению Минздрава; гражданский оборот которых прекращен; срок годности которых истек; в отношении которых не соблюдены требования, установленные на основании части 5 статьи 67 Федерального закона «Об обращении лекарственных средств».</w:t>
      </w:r>
    </w:p>
    <w:p w:rsidR="00B057BE" w:rsidRDefault="007A03A3">
      <w:pPr>
        <w:pStyle w:val="Standard"/>
        <w:spacing w:line="256" w:lineRule="auto"/>
        <w:ind w:firstLine="709"/>
        <w:jc w:val="both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Непосредс</w:t>
      </w:r>
      <w:r>
        <w:rPr>
          <w:rFonts w:ascii="Times New Roman" w:hAnsi="Times New Roman"/>
          <w:color w:val="000000"/>
          <w:sz w:val="28"/>
        </w:rPr>
        <w:t>твенно перед продажей лекарственного препарата работники фармацевтической организации будут проверять его через систему мониторинга движения лекарственных препаратов для медицинского применения. Лекарство не подлежит продаже в случае получения информации о</w:t>
      </w:r>
      <w:r>
        <w:rPr>
          <w:rFonts w:ascii="Times New Roman" w:hAnsi="Times New Roman"/>
          <w:color w:val="000000"/>
          <w:sz w:val="28"/>
        </w:rPr>
        <w:t xml:space="preserve"> его отнесении к числу вышеназванных лекарственных препаратов.</w:t>
      </w:r>
    </w:p>
    <w:p w:rsidR="00B057BE" w:rsidRDefault="00B057BE">
      <w:pPr>
        <w:pStyle w:val="Standard"/>
        <w:rPr>
          <w:rFonts w:hint="eastAsia"/>
        </w:rPr>
      </w:pPr>
    </w:p>
    <w:sectPr w:rsidR="00B057BE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A3" w:rsidRDefault="007A03A3">
      <w:pPr>
        <w:rPr>
          <w:rFonts w:hint="eastAsia"/>
        </w:rPr>
      </w:pPr>
      <w:r>
        <w:separator/>
      </w:r>
    </w:p>
  </w:endnote>
  <w:endnote w:type="continuationSeparator" w:id="0">
    <w:p w:rsidR="007A03A3" w:rsidRDefault="007A03A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 Neue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A3" w:rsidRDefault="007A03A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7A03A3" w:rsidRDefault="007A03A3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057BE"/>
    <w:rsid w:val="00746806"/>
    <w:rsid w:val="007A03A3"/>
    <w:rsid w:val="00B05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5847D9-4658-46E2-9E02-1FD5E29AA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kern w:val="3"/>
        <w:sz w:val="24"/>
        <w:szCs w:val="24"/>
        <w:lang w:val="ru-RU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Normal (Web)"/>
    <w:basedOn w:val="Standard"/>
    <w:pPr>
      <w:spacing w:before="100" w:after="100" w:line="240" w:lineRule="exact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customStyle="1" w:styleId="a6">
    <w:name w:val="По умолчанию"/>
    <w:rPr>
      <w:rFonts w:ascii="Helvetica Neue" w:eastAsia="Arial Unicode MS" w:hAnsi="Helvetica Neue" w:cs="Arial Unicode MS"/>
      <w:color w:val="000000"/>
      <w:lang w:eastAsia="ru-RU"/>
    </w:rPr>
  </w:style>
  <w:style w:type="paragraph" w:customStyle="1" w:styleId="1">
    <w:name w:val="Знак1"/>
    <w:basedOn w:val="Standard"/>
    <w:pPr>
      <w:spacing w:line="240" w:lineRule="exact"/>
      <w:jc w:val="both"/>
    </w:pPr>
    <w:rPr>
      <w:rFonts w:ascii="Verdana" w:eastAsia="Times New Roman" w:hAnsi="Verdana" w:cs="Times New Roman"/>
      <w:szCs w:val="28"/>
      <w:lang w:val="en-US"/>
    </w:rPr>
  </w:style>
  <w:style w:type="paragraph" w:customStyle="1" w:styleId="2">
    <w:name w:val="Основной текст (2)"/>
    <w:basedOn w:val="Standard"/>
    <w:pPr>
      <w:widowControl w:val="0"/>
      <w:shd w:val="clear" w:color="auto" w:fill="FFFFFF"/>
      <w:spacing w:after="180" w:line="240" w:lineRule="atLeast"/>
    </w:pPr>
    <w:rPr>
      <w:sz w:val="15"/>
      <w:szCs w:val="15"/>
    </w:rPr>
  </w:style>
  <w:style w:type="paragraph" w:customStyle="1" w:styleId="ConsPlusNormal">
    <w:name w:val="ConsPlusNormal"/>
    <w:pPr>
      <w:widowControl w:val="0"/>
      <w:ind w:firstLine="720"/>
    </w:pPr>
    <w:rPr>
      <w:rFonts w:ascii="Arial" w:eastAsia="Times New Roman" w:hAnsi="Arial"/>
      <w:sz w:val="20"/>
      <w:szCs w:val="20"/>
      <w:lang w:eastAsia="ru-RU"/>
    </w:rPr>
  </w:style>
  <w:style w:type="paragraph" w:styleId="a7">
    <w:name w:val="List Paragraph"/>
    <w:basedOn w:val="Standard"/>
    <w:pPr>
      <w:ind w:left="720"/>
    </w:pPr>
  </w:style>
  <w:style w:type="paragraph" w:customStyle="1" w:styleId="a8">
    <w:name w:val="Знак"/>
    <w:basedOn w:val="Standard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9">
    <w:name w:val="Знак Знак Знак Знак Знак Знак Знак Знак Знак Знак"/>
    <w:basedOn w:val="Standard"/>
    <w:pPr>
      <w:widowControl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aa">
    <w:name w:val="Штамп"/>
    <w:basedOn w:val="Standard"/>
    <w:pPr>
      <w:spacing w:line="720" w:lineRule="exact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alloon Text"/>
    <w:basedOn w:val="Standard"/>
    <w:pPr>
      <w:spacing w:line="240" w:lineRule="exact"/>
    </w:pPr>
    <w:rPr>
      <w:rFonts w:ascii="Segoe UI" w:eastAsia="Segoe UI" w:hAnsi="Segoe UI" w:cs="Segoe UI"/>
      <w:sz w:val="18"/>
      <w:szCs w:val="18"/>
    </w:rPr>
  </w:style>
  <w:style w:type="character" w:customStyle="1" w:styleId="ListLabel99">
    <w:name w:val="ListLabel 99"/>
  </w:style>
  <w:style w:type="character" w:customStyle="1" w:styleId="ListLabel98">
    <w:name w:val="ListLabel 98"/>
  </w:style>
  <w:style w:type="character" w:customStyle="1" w:styleId="ListLabel97">
    <w:name w:val="ListLabel 97"/>
  </w:style>
  <w:style w:type="character" w:customStyle="1" w:styleId="ListLabel96">
    <w:name w:val="ListLabel 96"/>
  </w:style>
  <w:style w:type="character" w:customStyle="1" w:styleId="ListLabel95">
    <w:name w:val="ListLabel 95"/>
  </w:style>
  <w:style w:type="character" w:customStyle="1" w:styleId="ListLabel94">
    <w:name w:val="ListLabel 94"/>
  </w:style>
  <w:style w:type="character" w:customStyle="1" w:styleId="ListLabel93">
    <w:name w:val="ListLabel 93"/>
  </w:style>
  <w:style w:type="character" w:customStyle="1" w:styleId="ListLabel92">
    <w:name w:val="ListLabel 92"/>
  </w:style>
  <w:style w:type="character" w:customStyle="1" w:styleId="ListLabel91">
    <w:name w:val="ListLabel 91"/>
    <w:rPr>
      <w:u w:val="none"/>
    </w:rPr>
  </w:style>
  <w:style w:type="character" w:customStyle="1" w:styleId="ListLabel90">
    <w:name w:val="ListLabel 90"/>
  </w:style>
  <w:style w:type="character" w:customStyle="1" w:styleId="ListLabel89">
    <w:name w:val="ListLabel 89"/>
  </w:style>
  <w:style w:type="character" w:customStyle="1" w:styleId="ListLabel88">
    <w:name w:val="ListLabel 88"/>
  </w:style>
  <w:style w:type="character" w:customStyle="1" w:styleId="ListLabel87">
    <w:name w:val="ListLabel 87"/>
  </w:style>
  <w:style w:type="character" w:customStyle="1" w:styleId="ListLabel86">
    <w:name w:val="ListLabel 86"/>
  </w:style>
  <w:style w:type="character" w:customStyle="1" w:styleId="ListLabel85">
    <w:name w:val="ListLabel 85"/>
  </w:style>
  <w:style w:type="character" w:customStyle="1" w:styleId="ListLabel84">
    <w:name w:val="ListLabel 84"/>
  </w:style>
  <w:style w:type="character" w:customStyle="1" w:styleId="ListLabel83">
    <w:name w:val="ListLabel 83"/>
  </w:style>
  <w:style w:type="character" w:customStyle="1" w:styleId="ListLabel82">
    <w:name w:val="ListLabel 82"/>
  </w:style>
  <w:style w:type="character" w:customStyle="1" w:styleId="ListLabel81">
    <w:name w:val="ListLabel 81"/>
  </w:style>
  <w:style w:type="character" w:customStyle="1" w:styleId="ListLabel80">
    <w:name w:val="ListLabel 80"/>
  </w:style>
  <w:style w:type="character" w:customStyle="1" w:styleId="ListLabel79">
    <w:name w:val="ListLabel 79"/>
  </w:style>
  <w:style w:type="character" w:customStyle="1" w:styleId="ListLabel78">
    <w:name w:val="ListLabel 78"/>
  </w:style>
  <w:style w:type="character" w:customStyle="1" w:styleId="ListLabel77">
    <w:name w:val="ListLabel 77"/>
  </w:style>
  <w:style w:type="character" w:customStyle="1" w:styleId="ListLabel76">
    <w:name w:val="ListLabel 76"/>
  </w:style>
  <w:style w:type="character" w:customStyle="1" w:styleId="ListLabel75">
    <w:name w:val="ListLabel 75"/>
  </w:style>
  <w:style w:type="character" w:customStyle="1" w:styleId="ListLabel74">
    <w:name w:val="ListLabel 74"/>
  </w:style>
  <w:style w:type="character" w:customStyle="1" w:styleId="ListLabel73">
    <w:name w:val="ListLabel 73"/>
  </w:style>
  <w:style w:type="character" w:customStyle="1" w:styleId="ListLabel72">
    <w:name w:val="ListLabel 72"/>
  </w:style>
  <w:style w:type="character" w:customStyle="1" w:styleId="ListLabel71">
    <w:name w:val="ListLabel 71"/>
  </w:style>
  <w:style w:type="character" w:customStyle="1" w:styleId="ListLabel70">
    <w:name w:val="ListLabel 70"/>
  </w:style>
  <w:style w:type="character" w:customStyle="1" w:styleId="ListLabel69">
    <w:name w:val="ListLabel 69"/>
  </w:style>
  <w:style w:type="character" w:customStyle="1" w:styleId="ListLabel68">
    <w:name w:val="ListLabel 68"/>
  </w:style>
  <w:style w:type="character" w:customStyle="1" w:styleId="ListLabel67">
    <w:name w:val="ListLabel 67"/>
  </w:style>
  <w:style w:type="character" w:customStyle="1" w:styleId="ListLabel66">
    <w:name w:val="ListLabel 66"/>
  </w:style>
  <w:style w:type="character" w:customStyle="1" w:styleId="ListLabel65">
    <w:name w:val="ListLabel 65"/>
  </w:style>
  <w:style w:type="character" w:customStyle="1" w:styleId="ListLabel64">
    <w:name w:val="ListLabel 64"/>
  </w:style>
  <w:style w:type="character" w:customStyle="1" w:styleId="ListLabel63">
    <w:name w:val="ListLabel 63"/>
  </w:style>
  <w:style w:type="character" w:customStyle="1" w:styleId="ListLabel62">
    <w:name w:val="ListLabel 62"/>
  </w:style>
  <w:style w:type="character" w:customStyle="1" w:styleId="ListLabel61">
    <w:name w:val="ListLabel 61"/>
  </w:style>
  <w:style w:type="character" w:customStyle="1" w:styleId="ListLabel60">
    <w:name w:val="ListLabel 60"/>
  </w:style>
  <w:style w:type="character" w:customStyle="1" w:styleId="ListLabel59">
    <w:name w:val="ListLabel 59"/>
  </w:style>
  <w:style w:type="character" w:customStyle="1" w:styleId="ListLabel58">
    <w:name w:val="ListLabel 58"/>
  </w:style>
  <w:style w:type="character" w:customStyle="1" w:styleId="ListLabel57">
    <w:name w:val="ListLabel 57"/>
  </w:style>
  <w:style w:type="character" w:customStyle="1" w:styleId="ListLabel56">
    <w:name w:val="ListLabel 56"/>
  </w:style>
  <w:style w:type="character" w:customStyle="1" w:styleId="ListLabel55">
    <w:name w:val="ListLabel 55"/>
  </w:style>
  <w:style w:type="character" w:customStyle="1" w:styleId="ListLabel54">
    <w:name w:val="ListLabel 54"/>
  </w:style>
  <w:style w:type="character" w:customStyle="1" w:styleId="ListLabel53">
    <w:name w:val="ListLabel 53"/>
  </w:style>
  <w:style w:type="character" w:customStyle="1" w:styleId="ListLabel52">
    <w:name w:val="ListLabel 52"/>
  </w:style>
  <w:style w:type="character" w:customStyle="1" w:styleId="ListLabel51">
    <w:name w:val="ListLabel 51"/>
  </w:style>
  <w:style w:type="character" w:customStyle="1" w:styleId="ListLabel50">
    <w:name w:val="ListLabel 50"/>
  </w:style>
  <w:style w:type="character" w:customStyle="1" w:styleId="ListLabel49">
    <w:name w:val="ListLabel 49"/>
  </w:style>
  <w:style w:type="character" w:customStyle="1" w:styleId="ListLabel48">
    <w:name w:val="ListLabel 48"/>
  </w:style>
  <w:style w:type="character" w:customStyle="1" w:styleId="ListLabel47">
    <w:name w:val="ListLabel 47"/>
  </w:style>
  <w:style w:type="character" w:customStyle="1" w:styleId="ListLabel46">
    <w:name w:val="ListLabel 46"/>
  </w:style>
  <w:style w:type="character" w:customStyle="1" w:styleId="ListLabel45">
    <w:name w:val="ListLabel 45"/>
  </w:style>
  <w:style w:type="character" w:customStyle="1" w:styleId="ListLabel44">
    <w:name w:val="ListLabel 44"/>
  </w:style>
  <w:style w:type="character" w:customStyle="1" w:styleId="ListLabel43">
    <w:name w:val="ListLabel 43"/>
  </w:style>
  <w:style w:type="character" w:customStyle="1" w:styleId="ListLabel42">
    <w:name w:val="ListLabel 42"/>
  </w:style>
  <w:style w:type="character" w:customStyle="1" w:styleId="ListLabel41">
    <w:name w:val="ListLabel 41"/>
  </w:style>
  <w:style w:type="character" w:customStyle="1" w:styleId="ListLabel40">
    <w:name w:val="ListLabel 40"/>
  </w:style>
  <w:style w:type="character" w:customStyle="1" w:styleId="ListLabel39">
    <w:name w:val="ListLabel 39"/>
  </w:style>
  <w:style w:type="character" w:customStyle="1" w:styleId="ListLabel38">
    <w:name w:val="ListLabel 38"/>
  </w:style>
  <w:style w:type="character" w:customStyle="1" w:styleId="ListLabel37">
    <w:name w:val="ListLabel 37"/>
  </w:style>
  <w:style w:type="character" w:customStyle="1" w:styleId="ListLabel36">
    <w:name w:val="ListLabel 36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35">
    <w:name w:val="ListLabel 35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34">
    <w:name w:val="ListLabel 34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33">
    <w:name w:val="ListLabel 33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32">
    <w:name w:val="ListLabel 32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31">
    <w:name w:val="ListLabel 31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30">
    <w:name w:val="ListLabel 30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29">
    <w:name w:val="ListLabel 29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28">
    <w:name w:val="ListLabel 28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27">
    <w:name w:val="ListLabel 27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26">
    <w:name w:val="ListLabel 26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25">
    <w:name w:val="ListLabel 25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24">
    <w:name w:val="ListLabel 24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23">
    <w:name w:val="ListLabel 23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22">
    <w:name w:val="ListLabel 22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21">
    <w:name w:val="ListLabel 21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20">
    <w:name w:val="ListLabel 20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19">
    <w:name w:val="ListLabel 19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18">
    <w:name w:val="ListLabel 18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17">
    <w:name w:val="ListLabel 17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16">
    <w:name w:val="ListLabel 16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15">
    <w:name w:val="ListLabel 15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14">
    <w:name w:val="ListLabel 14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13">
    <w:name w:val="ListLabel 13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12">
    <w:name w:val="ListLabel 12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11">
    <w:name w:val="ListLabel 11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10">
    <w:name w:val="ListLabel 10"/>
    <w:rPr>
      <w:caps w:val="0"/>
      <w:smallCaps w:val="0"/>
      <w:strike w:val="0"/>
      <w:dstrike w:val="0"/>
      <w:outline w:val="0"/>
      <w:spacing w:val="0"/>
      <w:w w:val="100"/>
      <w:kern w:val="0"/>
    </w:rPr>
  </w:style>
  <w:style w:type="character" w:customStyle="1" w:styleId="ListLabel9">
    <w:name w:val="ListLabel 9"/>
  </w:style>
  <w:style w:type="character" w:customStyle="1" w:styleId="ListLabel8">
    <w:name w:val="ListLabel 8"/>
  </w:style>
  <w:style w:type="character" w:customStyle="1" w:styleId="ListLabel7">
    <w:name w:val="ListLabel 7"/>
  </w:style>
  <w:style w:type="character" w:customStyle="1" w:styleId="ListLabel6">
    <w:name w:val="ListLabel 6"/>
  </w:style>
  <w:style w:type="character" w:customStyle="1" w:styleId="ListLabel5">
    <w:name w:val="ListLabel 5"/>
  </w:style>
  <w:style w:type="character" w:customStyle="1" w:styleId="ListLabel4">
    <w:name w:val="ListLabel 4"/>
  </w:style>
  <w:style w:type="character" w:customStyle="1" w:styleId="ListLabel3">
    <w:name w:val="ListLabel 3"/>
  </w:style>
  <w:style w:type="character" w:customStyle="1" w:styleId="ListLabel2">
    <w:name w:val="ListLabel 2"/>
  </w:style>
  <w:style w:type="character" w:customStyle="1" w:styleId="ListLabel1">
    <w:name w:val="ListLabel 1"/>
  </w:style>
  <w:style w:type="character" w:customStyle="1" w:styleId="ac">
    <w:name w:val="Обычный (Интернет) Знак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customStyle="1" w:styleId="20">
    <w:name w:val="Основной текст (2)_"/>
    <w:rPr>
      <w:sz w:val="15"/>
      <w:szCs w:val="15"/>
      <w:shd w:val="clear" w:color="auto" w:fill="FFFFFF"/>
    </w:rPr>
  </w:style>
  <w:style w:type="character" w:customStyle="1" w:styleId="ad">
    <w:name w:val="Основной текст Знак"/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character" w:customStyle="1" w:styleId="ae">
    <w:name w:val="Текст выноски Знак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f">
    <w:name w:val="Нижний колонтитул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f0">
    <w:name w:val="Верхний колонтитул Знак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DefaultParagraphFontWW">
    <w:name w:val="Default Paragraph Font (WW)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1483</Words>
  <Characters>8459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2025-06-23T07:14:00Z</dcterms:created>
  <dcterms:modified xsi:type="dcterms:W3CDTF">2025-06-23T07:14:00Z</dcterms:modified>
</cp:coreProperties>
</file>